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5C" w:rsidRPr="00186A82" w:rsidRDefault="00186A82" w:rsidP="00BE575C">
      <w:pPr>
        <w:ind w:right="-34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</w:p>
    <w:p w:rsidR="00BE575C" w:rsidRPr="00186A82" w:rsidRDefault="00BE575C" w:rsidP="00BE575C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E575C" w:rsidRPr="00186A82" w:rsidRDefault="00186A82" w:rsidP="005B7A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USTAVNI</w:t>
      </w:r>
      <w:r w:rsidR="00BE575C"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OSNOV</w:t>
      </w:r>
      <w:r w:rsidR="00BE575C"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="00BE575C"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DONOŠENJE</w:t>
      </w:r>
      <w:r w:rsidR="00BE575C"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</w:p>
    <w:p w:rsidR="005B7A20" w:rsidRPr="00186A82" w:rsidRDefault="005B7A20" w:rsidP="005B7A2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BE575C" w:rsidRPr="00186A82" w:rsidRDefault="00186A82" w:rsidP="00BE575C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Ustavni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6), 11)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zakonitosti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BE575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E575C" w:rsidRPr="00186A82" w:rsidRDefault="00BE575C" w:rsidP="00BE575C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E0A4E" w:rsidRPr="00186A82" w:rsidRDefault="00BE575C" w:rsidP="00BE575C">
      <w:pPr>
        <w:ind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II.        </w:t>
      </w:r>
      <w:r w:rsid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RAZLOZI</w:t>
      </w:r>
      <w:r w:rsidRP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P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DONOŠENJE</w:t>
      </w:r>
      <w:r w:rsidRP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ZAKONA</w:t>
      </w:r>
    </w:p>
    <w:p w:rsidR="008E0A4E" w:rsidRPr="00186A82" w:rsidRDefault="00186A82" w:rsidP="008E0A4E">
      <w:pPr>
        <w:kinsoku w:val="0"/>
        <w:overflowPunct w:val="0"/>
        <w:spacing w:after="0"/>
        <w:ind w:firstLine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Zakon</w:t>
      </w:r>
      <w:r w:rsidR="008E0A4E" w:rsidRPr="00186A82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o</w:t>
      </w:r>
      <w:r w:rsidR="008E0A4E" w:rsidRPr="00186A82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računovodstvu</w:t>
      </w:r>
      <w:r w:rsidR="000A5D39" w:rsidRPr="00186A82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 xml:space="preserve"> (</w:t>
      </w: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u</w:t>
      </w:r>
      <w:r w:rsidR="000A5D39" w:rsidRPr="00186A82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daljem</w:t>
      </w:r>
      <w:r w:rsidR="000A5D39" w:rsidRPr="00186A82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tekstu</w:t>
      </w:r>
      <w:r w:rsidR="000A5D39" w:rsidRPr="00186A82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 xml:space="preserve">: </w:t>
      </w: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Zakon</w:t>
      </w:r>
      <w:r w:rsidR="000A5D39" w:rsidRPr="00186A82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val="sr-Latn-CS"/>
        </w:rPr>
        <w:t>)</w:t>
      </w:r>
      <w:r w:rsidR="008E0A4E" w:rsidRPr="00186A82">
        <w:rPr>
          <w:rFonts w:ascii="Times New Roman" w:eastAsiaTheme="minorEastAsia" w:hAnsi="Times New Roman" w:cs="Times New Roman"/>
          <w:b/>
          <w:bCs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donet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je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16.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jula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2013.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godine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od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strane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Narodne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skupštine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Republike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Srbije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i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objavljen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u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„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Službenom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glasniku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RS</w:t>
      </w:r>
      <w:r w:rsidR="00292646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,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broj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62/13.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Zakon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je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stupio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na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snagu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24.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jula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2013.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godine</w:t>
      </w:r>
      <w:r w:rsidR="008E0A4E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.</w:t>
      </w:r>
    </w:p>
    <w:p w:rsidR="008E0A4E" w:rsidRPr="00186A82" w:rsidRDefault="00186A82" w:rsidP="002F48F9">
      <w:pPr>
        <w:kinsoku w:val="0"/>
        <w:overflowPunct w:val="0"/>
        <w:spacing w:after="0"/>
        <w:ind w:firstLine="547"/>
        <w:jc w:val="both"/>
        <w:textAlignment w:val="baseline"/>
        <w:rPr>
          <w:rFonts w:eastAsiaTheme="minorEastAsia"/>
          <w:noProof/>
          <w:kern w:val="24"/>
          <w:lang w:val="sr-Latn-CS"/>
        </w:rPr>
      </w:pP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Zakonom</w:t>
      </w:r>
      <w:r w:rsidR="009151C1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>se</w:t>
      </w:r>
      <w:r w:rsidR="00777900" w:rsidRPr="00186A82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77790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obveznici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računovodstva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računovodstvene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knjiga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priznavanje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vrednovanje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pozicija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sastavljanje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godišnjeg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računovodstvo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E0A4E" w:rsidRPr="00186A82">
        <w:rPr>
          <w:rFonts w:eastAsiaTheme="minorEastAsia"/>
          <w:noProof/>
          <w:kern w:val="24"/>
          <w:lang w:val="sr-Latn-CS"/>
        </w:rPr>
        <w:t>.</w:t>
      </w:r>
    </w:p>
    <w:p w:rsidR="00BA0D61" w:rsidRPr="00186A82" w:rsidRDefault="00186A82" w:rsidP="00E46BE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Razlozi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usvajanje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Predloga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dopunama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računovodstvu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daljem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tekstu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Predlog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sadržani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usaglasi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svoju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regulativu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novim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međunarodnim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standardima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oblasti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sprečavanja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otkrivanja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novca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terorizma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Međunarodni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standardi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borbi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protiv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novca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terorizma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širenja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oružja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masovno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uništenje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FATF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Preporuke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donete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Organizacije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kontrolu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sprečavanje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pranja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novca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daljem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tekstu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FATF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).</w:t>
      </w:r>
    </w:p>
    <w:p w:rsidR="00BA0D61" w:rsidRPr="00186A82" w:rsidRDefault="00186A82" w:rsidP="00E46BE8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Navedeni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predstavlja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počiva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MANIVAL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tela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Saveta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Evrope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bavi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procenom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usaglašenosti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nacionalnih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sprečavanje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novca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terorizma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članica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Saveta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Evrope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međunarodnim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standardima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decembar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2014.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april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bila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petog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kruga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evaluacije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strane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Komiteta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MANIVAL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daljem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tekstu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Komitet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pogledu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radnji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preduzima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borbe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protiv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novca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finansiranja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terorizma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Komitet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konstatovao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nisu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potpunosti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ispunjene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preporuke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FATF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a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BA0D61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.</w:t>
      </w:r>
      <w:r w:rsidR="0065412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Pomenuti</w:t>
      </w:r>
      <w:r w:rsidR="0065412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između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ostalog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sadrži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Preporuku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regulisanje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nadzor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radom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nefinansijskog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sektora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kojom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predlaže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regulišu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poslovanje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subjekata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nefinansijskom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sektoru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zabrane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osuđivanim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pravnim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licima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fizičkim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licima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budu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osnivači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vlasnici</w:t>
      </w:r>
      <w:r w:rsidR="00BA0D61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privrednih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društava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registrovani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pružanje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računovodstvenih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usluga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zabrane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krivično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osuđivanim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fizičkim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licima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preduzetnici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bave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ovom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delatnošću</w:t>
      </w:r>
      <w:r w:rsidR="002F48F9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A0D61" w:rsidRPr="00186A82" w:rsidRDefault="00186A82" w:rsidP="00604A90">
      <w:pPr>
        <w:pStyle w:val="ListParagraph"/>
        <w:kinsoku w:val="0"/>
        <w:overflowPunct w:val="0"/>
        <w:ind w:left="0" w:firstLine="720"/>
        <w:jc w:val="both"/>
        <w:textAlignment w:val="baseline"/>
        <w:rPr>
          <w:rFonts w:eastAsiaTheme="minorEastAsia"/>
          <w:noProof/>
          <w:kern w:val="24"/>
          <w:lang w:val="sr-Latn-CS"/>
        </w:rPr>
      </w:pPr>
      <w:r>
        <w:rPr>
          <w:noProof/>
          <w:lang w:val="sr-Latn-CS"/>
        </w:rPr>
        <w:t>Imajući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BA0D61" w:rsidRPr="00186A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dokaže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konkretne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napretke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svakoj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ključnih</w:t>
      </w:r>
      <w:r w:rsidR="00BA0D61" w:rsidRPr="00186A8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oblasti</w:t>
      </w:r>
      <w:r w:rsidR="00BA0D61" w:rsidRPr="00186A82">
        <w:rPr>
          <w:rFonts w:eastAsia="Calibri"/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spremnost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zaštiti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potencijalnih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zloupotreba</w:t>
      </w:r>
      <w:r w:rsidR="00BA0D61" w:rsidRPr="00186A82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izbegne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stavljanje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listu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primenjuju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borbe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pranja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A0D61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604A90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604A90" w:rsidRPr="00186A82">
        <w:rPr>
          <w:noProof/>
          <w:lang w:val="sr-Latn-CS"/>
        </w:rPr>
        <w:t xml:space="preserve">, </w:t>
      </w:r>
      <w:r>
        <w:rPr>
          <w:noProof/>
          <w:lang w:val="sr-Latn-CS"/>
        </w:rPr>
        <w:t>izrađen</w:t>
      </w:r>
      <w:r w:rsidR="00604A90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04A90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173D52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73D52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173D52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73D52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173D52" w:rsidRPr="00186A82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BA0D61" w:rsidRPr="00186A82">
        <w:rPr>
          <w:noProof/>
          <w:lang w:val="sr-Latn-CS"/>
        </w:rPr>
        <w:t>.</w:t>
      </w:r>
    </w:p>
    <w:p w:rsidR="00236C5D" w:rsidRPr="00186A82" w:rsidRDefault="00186A82" w:rsidP="00B03778">
      <w:pPr>
        <w:pStyle w:val="ListParagraph"/>
        <w:kinsoku w:val="0"/>
        <w:overflowPunct w:val="0"/>
        <w:ind w:left="0" w:firstLine="720"/>
        <w:jc w:val="both"/>
        <w:textAlignment w:val="baseline"/>
        <w:rPr>
          <w:rFonts w:eastAsiaTheme="minorEastAsia"/>
          <w:noProof/>
          <w:kern w:val="24"/>
          <w:lang w:val="sr-Latn-CS"/>
        </w:rPr>
      </w:pPr>
      <w:r>
        <w:rPr>
          <w:rFonts w:eastAsiaTheme="minorEastAsia"/>
          <w:noProof/>
          <w:kern w:val="24"/>
          <w:lang w:val="sr-Latn-CS"/>
        </w:rPr>
        <w:t>Odredbe</w:t>
      </w:r>
      <w:r w:rsidR="00604A90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Predloga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zakona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odnosiće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se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na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sva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pravna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lica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i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preduzetnike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koji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su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registrovani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ili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koji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će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biti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registrovani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za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 </w:t>
      </w:r>
      <w:r>
        <w:rPr>
          <w:rFonts w:eastAsiaTheme="minorEastAsia"/>
          <w:noProof/>
          <w:kern w:val="24"/>
          <w:lang w:val="sr-Latn-CS"/>
        </w:rPr>
        <w:t>pružanje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računovodstvenih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usluga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u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smislu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pribavljanja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odgovarajućih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uverenja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o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neosuđivanosti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za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propisana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krivična</w:t>
      </w:r>
      <w:r w:rsidR="0005695B" w:rsidRPr="00186A82">
        <w:rPr>
          <w:rFonts w:eastAsiaTheme="minorEastAsia"/>
          <w:noProof/>
          <w:kern w:val="24"/>
          <w:lang w:val="sr-Latn-CS"/>
        </w:rPr>
        <w:t xml:space="preserve"> </w:t>
      </w:r>
      <w:r>
        <w:rPr>
          <w:rFonts w:eastAsiaTheme="minorEastAsia"/>
          <w:noProof/>
          <w:kern w:val="24"/>
          <w:lang w:val="sr-Latn-CS"/>
        </w:rPr>
        <w:t>dela</w:t>
      </w:r>
      <w:r w:rsidR="0005695B" w:rsidRPr="00186A82">
        <w:rPr>
          <w:rFonts w:eastAsiaTheme="minorEastAsia"/>
          <w:noProof/>
          <w:kern w:val="24"/>
          <w:lang w:val="sr-Latn-CS"/>
        </w:rPr>
        <w:t>.</w:t>
      </w:r>
      <w:r w:rsidR="00236C5D" w:rsidRPr="00186A82">
        <w:rPr>
          <w:rFonts w:eastAsiaTheme="minorEastAsia"/>
          <w:noProof/>
          <w:kern w:val="24"/>
          <w:lang w:val="sr-Latn-CS"/>
        </w:rPr>
        <w:t xml:space="preserve"> </w:t>
      </w:r>
    </w:p>
    <w:p w:rsidR="00236C5D" w:rsidRPr="00186A82" w:rsidRDefault="00236C5D" w:rsidP="00B03778">
      <w:pPr>
        <w:pStyle w:val="ListParagraph"/>
        <w:kinsoku w:val="0"/>
        <w:overflowPunct w:val="0"/>
        <w:ind w:left="0" w:firstLine="720"/>
        <w:jc w:val="both"/>
        <w:textAlignment w:val="baseline"/>
        <w:rPr>
          <w:rFonts w:eastAsiaTheme="minorEastAsia"/>
          <w:noProof/>
          <w:kern w:val="24"/>
          <w:lang w:val="sr-Latn-CS"/>
        </w:rPr>
      </w:pPr>
    </w:p>
    <w:p w:rsidR="005B7A20" w:rsidRPr="00186A82" w:rsidRDefault="005B7A20" w:rsidP="00B03778">
      <w:pPr>
        <w:pStyle w:val="ListParagraph"/>
        <w:kinsoku w:val="0"/>
        <w:overflowPunct w:val="0"/>
        <w:ind w:left="0" w:firstLine="720"/>
        <w:jc w:val="both"/>
        <w:textAlignment w:val="baseline"/>
        <w:rPr>
          <w:rFonts w:eastAsiaTheme="minorEastAsia"/>
          <w:noProof/>
          <w:kern w:val="24"/>
          <w:lang w:val="sr-Latn-CS"/>
        </w:rPr>
      </w:pPr>
    </w:p>
    <w:p w:rsidR="00BE575C" w:rsidRPr="00186A82" w:rsidRDefault="00AC76F1" w:rsidP="00AC76F1">
      <w:pPr>
        <w:pStyle w:val="BodyText2"/>
        <w:ind w:firstLine="720"/>
        <w:rPr>
          <w:noProof/>
          <w:lang w:val="sr-Latn-CS"/>
        </w:rPr>
      </w:pPr>
      <w:r w:rsidRPr="00186A82">
        <w:rPr>
          <w:noProof/>
          <w:lang w:val="sr-Latn-CS"/>
        </w:rPr>
        <w:t xml:space="preserve">III. </w:t>
      </w:r>
      <w:r w:rsidR="00186A82">
        <w:rPr>
          <w:noProof/>
          <w:lang w:val="sr-Latn-CS"/>
        </w:rPr>
        <w:t>SADRŽINA</w:t>
      </w:r>
      <w:r w:rsidR="00BE575C" w:rsidRPr="00186A82">
        <w:rPr>
          <w:noProof/>
          <w:lang w:val="sr-Latn-CS"/>
        </w:rPr>
        <w:t xml:space="preserve"> </w:t>
      </w:r>
      <w:r w:rsidR="00186A82">
        <w:rPr>
          <w:noProof/>
          <w:lang w:val="sr-Latn-CS"/>
        </w:rPr>
        <w:t>ZAKONA</w:t>
      </w:r>
      <w:r w:rsidR="00BE575C" w:rsidRPr="00186A82">
        <w:rPr>
          <w:noProof/>
          <w:lang w:val="sr-Latn-CS"/>
        </w:rPr>
        <w:t xml:space="preserve"> - </w:t>
      </w:r>
      <w:r w:rsidR="00186A82">
        <w:rPr>
          <w:noProof/>
          <w:lang w:val="sr-Latn-CS"/>
        </w:rPr>
        <w:t>OBJAŠNJENJE</w:t>
      </w:r>
      <w:r w:rsidR="00BE575C" w:rsidRPr="00186A82">
        <w:rPr>
          <w:noProof/>
          <w:lang w:val="sr-Latn-CS"/>
        </w:rPr>
        <w:t xml:space="preserve"> </w:t>
      </w:r>
      <w:r w:rsidR="00186A82">
        <w:rPr>
          <w:noProof/>
          <w:lang w:val="sr-Latn-CS"/>
        </w:rPr>
        <w:t>OSNOVNIH</w:t>
      </w:r>
      <w:r w:rsidR="00BE575C" w:rsidRPr="00186A82">
        <w:rPr>
          <w:noProof/>
          <w:lang w:val="sr-Latn-CS"/>
        </w:rPr>
        <w:t xml:space="preserve"> </w:t>
      </w:r>
      <w:r w:rsidR="00186A82">
        <w:rPr>
          <w:noProof/>
          <w:lang w:val="sr-Latn-CS"/>
        </w:rPr>
        <w:t>PRAVNIH</w:t>
      </w:r>
      <w:r w:rsidR="00BE575C" w:rsidRPr="00186A82">
        <w:rPr>
          <w:noProof/>
          <w:lang w:val="sr-Latn-CS"/>
        </w:rPr>
        <w:t xml:space="preserve"> </w:t>
      </w:r>
      <w:r w:rsidR="00186A82">
        <w:rPr>
          <w:noProof/>
          <w:lang w:val="sr-Latn-CS"/>
        </w:rPr>
        <w:t>INSTITUTA</w:t>
      </w:r>
      <w:r w:rsidR="00BE575C" w:rsidRPr="00186A82">
        <w:rPr>
          <w:noProof/>
          <w:lang w:val="sr-Latn-CS"/>
        </w:rPr>
        <w:t xml:space="preserve"> </w:t>
      </w:r>
      <w:r w:rsidR="00186A82">
        <w:rPr>
          <w:noProof/>
          <w:lang w:val="sr-Latn-CS"/>
        </w:rPr>
        <w:t>I</w:t>
      </w:r>
      <w:r w:rsidR="00BE575C" w:rsidRPr="00186A82">
        <w:rPr>
          <w:noProof/>
          <w:lang w:val="sr-Latn-CS"/>
        </w:rPr>
        <w:t xml:space="preserve"> </w:t>
      </w:r>
      <w:r w:rsidR="00186A82">
        <w:rPr>
          <w:noProof/>
          <w:lang w:val="sr-Latn-CS"/>
        </w:rPr>
        <w:t>POJEDINAČNIH</w:t>
      </w:r>
      <w:r w:rsidR="00BE575C" w:rsidRPr="00186A82">
        <w:rPr>
          <w:noProof/>
          <w:lang w:val="sr-Latn-CS"/>
        </w:rPr>
        <w:t xml:space="preserve"> </w:t>
      </w:r>
      <w:r w:rsidR="00186A82">
        <w:rPr>
          <w:noProof/>
          <w:lang w:val="sr-Latn-CS"/>
        </w:rPr>
        <w:t>REŠENJA</w:t>
      </w:r>
    </w:p>
    <w:p w:rsidR="00BE575C" w:rsidRPr="00186A82" w:rsidRDefault="00AC76F1" w:rsidP="00BE57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184155" w:rsidRPr="00186A82" w:rsidRDefault="00604A90" w:rsidP="00355449">
      <w:pPr>
        <w:spacing w:after="0"/>
        <w:jc w:val="both"/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Odredbom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AC76F1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5A5112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5A5112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stavovi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86964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EB3106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B3106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73D3B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osnivač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kao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član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organa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upravljanja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privrednog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društva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koj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e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ima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registrovanu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pretežnu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delatnost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pružanje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usluga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može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biti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pravno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osuđeno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pravosnažnom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presudom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krivično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delo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krivična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odnosno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fizičko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je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pravosnažno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osuđeno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krivična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dela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iz</w:t>
      </w:r>
      <w:r w:rsidR="00B92322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stava</w:t>
      </w:r>
      <w:r w:rsidR="00B92322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3.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istog</w:t>
      </w:r>
      <w:r w:rsidR="00B92322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člana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.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Takođe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ni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preduzetnik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koji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ima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registrovanu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pretežnu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delatnost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pružanje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usluga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može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biti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je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pravosnažno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osuđeno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za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krivična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dela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protiv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po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osnovu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rada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privrede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imovine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pravosuđa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pranja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novca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finansiranja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terorizma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javnog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reda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i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mira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pravnog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saobraćaja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i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službene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dužnosti</w:t>
      </w:r>
      <w:r w:rsidR="00184155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.</w:t>
      </w:r>
    </w:p>
    <w:p w:rsidR="002F48F9" w:rsidRPr="00186A82" w:rsidRDefault="00604A90" w:rsidP="0035544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Članom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2.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Predloga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članu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46.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uvodi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kaznena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odredba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privredni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prestup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pravna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lica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odnosno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prekršaj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fizička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lica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)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nepoštovanje</w:t>
      </w:r>
      <w:r w:rsidR="001D780C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odredaba</w:t>
      </w:r>
      <w:r w:rsidR="001D780C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člana</w:t>
      </w:r>
      <w:r w:rsidR="001D780C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15.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="001D780C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(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odredba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poveravanju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vođenja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poslovnih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knjiga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sastavljanja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finansijskih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izveštaja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kao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novouvedene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obaveze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osnivače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vlasnike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agencija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427D5B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.</w:t>
      </w:r>
      <w:r w:rsidR="002F48F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</w:p>
    <w:p w:rsidR="00AC76F1" w:rsidRPr="00186A82" w:rsidRDefault="00AC76F1" w:rsidP="0035544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Odredbom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određen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prelazni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privredna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društva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odnosno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preduzetnici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koji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imaju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registrovanu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pretežnu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delatnost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pružanje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usluga</w:t>
      </w:r>
      <w:r w:rsidR="00355449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usklade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26A3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:rsidR="00526A3C" w:rsidRPr="00186A82" w:rsidRDefault="00526A3C" w:rsidP="0035544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Odredbom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4155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D780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1D780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190ACC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AC76F1" w:rsidRPr="00186A82" w:rsidRDefault="00AC76F1" w:rsidP="0035544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85E47" w:rsidRPr="00186A82" w:rsidRDefault="00A85E47" w:rsidP="00BE57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6BE8" w:rsidRPr="00186A82" w:rsidRDefault="00E46BE8" w:rsidP="00E46BE8">
      <w:pPr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IV.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PROCENA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FINANSIJSKIH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SREDSTAVA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POTREBNIH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SPROVOĐENJE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</w:p>
    <w:p w:rsidR="00E46BE8" w:rsidRPr="00186A82" w:rsidRDefault="00186A82" w:rsidP="00E46BE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392DAE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46BE8" w:rsidRPr="00186A82" w:rsidRDefault="00E46BE8" w:rsidP="00E46BE8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6BE8" w:rsidRPr="00186A82" w:rsidRDefault="00E46BE8" w:rsidP="00E46BE8">
      <w:pPr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V.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RAZLOZI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DONOŠENJE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HITNOM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POSTUPKU</w:t>
      </w:r>
    </w:p>
    <w:p w:rsidR="00E46BE8" w:rsidRPr="00186A82" w:rsidRDefault="00186A82" w:rsidP="00604A9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hitnom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odredbom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20/12</w:t>
      </w:r>
      <w:r w:rsidR="00604A90" w:rsidRPr="00186A82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prečišćen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usklađivanja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preporukama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Organizacije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kontrolu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sprečavanje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pranja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novca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FATF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Nedonošenje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ovog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zakona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hitnom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postupku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moglo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bi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ostaviti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nesagledive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posledice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stavljanje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standarde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borbe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pranja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novca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terorizma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85E47" w:rsidRPr="00186A82" w:rsidRDefault="00186A82" w:rsidP="00604A9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Imajući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navedeno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stekli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hitnom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E46BE8" w:rsidRPr="00186A8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85E47" w:rsidRPr="00186A82" w:rsidRDefault="00A85E47" w:rsidP="00BE57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9031C" w:rsidRPr="00186A82" w:rsidRDefault="00A9031C" w:rsidP="00BE57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85E47" w:rsidRPr="00186A82" w:rsidRDefault="00E46BE8" w:rsidP="00E46BE8">
      <w:pPr>
        <w:spacing w:after="0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VI.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PREGLED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ODREDABA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DOPUNJUJU</w:t>
      </w:r>
    </w:p>
    <w:p w:rsidR="00E46BE8" w:rsidRPr="00186A82" w:rsidRDefault="00E46BE8" w:rsidP="00BE57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55449" w:rsidRPr="00186A82" w:rsidRDefault="00186A82" w:rsidP="003554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15.</w:t>
      </w:r>
    </w:p>
    <w:p w:rsidR="00355449" w:rsidRPr="00186A82" w:rsidRDefault="00186A82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Vođenje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poslovnih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knjiga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sastavljanje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finansijskih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izveštaja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pravno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odnosno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preduzetnik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može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poveriti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ugovorom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pisanoj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formi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skladu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privrednom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društvu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ili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preduzetniku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imaju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registrovanu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pretežnu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delatnost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pružanje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usluga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7C24D1" w:rsidRPr="00186A82" w:rsidRDefault="00186A82" w:rsidP="007C2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OSNIVAČ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KAO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ORGANA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UPRAVLJANJA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PRIVREDNOG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DRUŠTVA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IMA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REGISTROVANU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PRETEŽNU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DELATNOST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PRUŽANJE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USLUGA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MOŽE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BITI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PRAVNO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OSUĐENO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PRAVOSNAŽNOM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PRESUDOM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KRIVIČNO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ODGOVORNOST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PRAVNIH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KRIVIČNA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ODNOSNO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FIZIČKO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PRAVOSNAŽNO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OSUĐENO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KRIVIČNA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DELA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IZ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STAVA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OVOG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355449" w:rsidRPr="00186A82" w:rsidRDefault="00186A82" w:rsidP="007C2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PREDUZETNIK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KOJI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IMA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REGISTROVANU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PRETEŽNU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DELATNOST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PRUŽANJE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USLUGA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MOŽE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BITI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JE</w:t>
      </w:r>
      <w:r w:rsidR="007C24D1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PRAVOSNAŽNO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OSUĐENO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ZA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KRIVIČNA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DELA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PROTIV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PO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OSNOVU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RADA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PRIVREDE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IMOVINE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PRAVOSUĐA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PRANJA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NOVCA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FINANSIRANJA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TERORIZMA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JAVNOG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REDA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I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MIRA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PRAVNOG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SAOBRAĆAJA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I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SLUŽBENE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DUŽNOSTI</w:t>
      </w:r>
      <w:r w:rsidR="007C24D1" w:rsidRPr="00186A82">
        <w:rPr>
          <w:rFonts w:ascii="Times New Roman" w:eastAsia="TimesNewRoman" w:hAnsi="Times New Roman" w:cs="Times New Roman"/>
          <w:noProof/>
          <w:sz w:val="24"/>
          <w:szCs w:val="24"/>
          <w:lang w:val="sr-Latn-CS"/>
        </w:rPr>
        <w:t>.</w:t>
      </w:r>
    </w:p>
    <w:p w:rsidR="00355449" w:rsidRPr="00186A82" w:rsidRDefault="00186A82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Odredba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stava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ovog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odnosi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Narodnu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banku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Srbije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banke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druge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finansijske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institucije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nad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kojima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saglasno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nadzor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vrši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Narodna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banka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Srbije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društva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osiguranje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davaoce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finansijskog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lizinga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dobrovoljne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penzijske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fondove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društva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upravljanje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dobrovoljnim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penzijskim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fondovima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investicione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fondove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upravljanje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investicionim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fondovima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berze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brokersko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dilerska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društva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faktoring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355449" w:rsidRPr="00186A82" w:rsidRDefault="00186A82" w:rsidP="003554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46.</w:t>
      </w:r>
    </w:p>
    <w:p w:rsidR="00355449" w:rsidRPr="00186A82" w:rsidRDefault="00186A82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kaznom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100.000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3.000.000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kazniće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prestup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razvrsta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mikro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malo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srednje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veliko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2)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opštim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aktom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uredi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organizaciju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računovodstva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način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iz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7.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stav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1.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ovog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; 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3)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vrši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obradu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podataka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računaru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obezbedi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računovodstveni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softver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omogućava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funkcionisanje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sistema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internih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računovodstvenih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kontrola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onemogućava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brisanje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proknjiženih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poslovnih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promena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7.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stav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3); 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sastavlja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računovodstvene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proveru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računovodstvenih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unosa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6)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računovodstvene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isprave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dokumentaciju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dostavi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knjiženje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propisanom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roku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ako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poslovnu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promenu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proknjiži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poslovnim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knjigama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propisanom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roku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10.);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vodi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otvori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lastRenderedPageBreak/>
        <w:t xml:space="preserve">9)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opštim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aktom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odredi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lice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kome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poverava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vođenje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poslovnih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knjiga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sastavljanje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finansijskih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izveštaja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14.);</w:t>
      </w:r>
    </w:p>
    <w:p w:rsidR="00355449" w:rsidRPr="00186A82" w:rsidRDefault="00945058" w:rsidP="0035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9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)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POSTUPI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SKLADU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SA</w:t>
      </w:r>
      <w:r w:rsidR="00604A90"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ODREDBAMA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ČLANA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15.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OVOG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Pr="00186A82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popiše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imovinu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16.);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11)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kao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poverilac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dostavi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svom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dužniku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stanje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neplaćenih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računa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ako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obelodani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Napomenama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uz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finansijske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izveštaje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neusaglašena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potraživanja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obaveze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18.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. 2.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4.);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12)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sastavlja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prikazuje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 20 - 22.);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13)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23.);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14)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čuva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računovodstvene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poslovanju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revizorske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rokovima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24.);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15)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zaštiti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vode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elektronskom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mediju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24.);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16)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sastavlja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25.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27.);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17)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reviziju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28.);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18)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sastavi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poslovanju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19)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sastavlja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odluke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informacije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srpskom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jeziku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dinarima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20)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Agenciji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poslovanju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revizorski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dokumentaciju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objavljivanja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statističke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potrebe</w:t>
      </w:r>
      <w:r w:rsidRPr="00186A8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rokovima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 33 - 35.);</w:t>
      </w:r>
    </w:p>
    <w:p w:rsidR="00355449" w:rsidRPr="00186A82" w:rsidRDefault="00355449" w:rsidP="00355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21)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dobijene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Registra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finansijskih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suprotno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41.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355449" w:rsidRPr="00186A82" w:rsidRDefault="00186A82" w:rsidP="00355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radnje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kazniće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prestup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odgovorno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licu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kaznom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20.000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150.000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dinara</w:t>
      </w:r>
      <w:r w:rsidR="00355449" w:rsidRPr="00186A8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352467" w:rsidRPr="00186A82" w:rsidRDefault="00352467" w:rsidP="0035246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352467" w:rsidRPr="00186A82" w:rsidRDefault="00352467" w:rsidP="0035246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AC76F1" w:rsidRPr="00186A82" w:rsidRDefault="00AC76F1" w:rsidP="00BE57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66057" w:rsidRPr="00186A82" w:rsidRDefault="00066057" w:rsidP="00BE57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066057" w:rsidRPr="00186A82" w:rsidSect="00965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99" w:rsidRDefault="003B2899" w:rsidP="00965099">
      <w:pPr>
        <w:spacing w:after="0" w:line="240" w:lineRule="auto"/>
      </w:pPr>
      <w:r>
        <w:separator/>
      </w:r>
    </w:p>
  </w:endnote>
  <w:endnote w:type="continuationSeparator" w:id="0">
    <w:p w:rsidR="003B2899" w:rsidRDefault="003B2899" w:rsidP="0096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99" w:rsidRDefault="00965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098326959"/>
      <w:docPartObj>
        <w:docPartGallery w:val="Page Numbers (Bottom of Page)"/>
        <w:docPartUnique/>
      </w:docPartObj>
    </w:sdtPr>
    <w:sdtEndPr/>
    <w:sdtContent>
      <w:p w:rsidR="00965099" w:rsidRPr="00186A82" w:rsidRDefault="00965099">
        <w:pPr>
          <w:pStyle w:val="Footer"/>
          <w:jc w:val="right"/>
          <w:rPr>
            <w:noProof/>
            <w:lang w:val="sr-Latn-CS"/>
          </w:rPr>
        </w:pPr>
        <w:r w:rsidRPr="00186A82">
          <w:rPr>
            <w:noProof/>
            <w:lang w:val="sr-Latn-CS"/>
          </w:rPr>
          <w:fldChar w:fldCharType="begin"/>
        </w:r>
        <w:r w:rsidRPr="00186A82">
          <w:rPr>
            <w:noProof/>
            <w:lang w:val="sr-Latn-CS"/>
          </w:rPr>
          <w:instrText xml:space="preserve"> PAGE   \* MERGEFORMAT </w:instrText>
        </w:r>
        <w:r w:rsidRPr="00186A82">
          <w:rPr>
            <w:noProof/>
            <w:lang w:val="sr-Latn-CS"/>
          </w:rPr>
          <w:fldChar w:fldCharType="separate"/>
        </w:r>
        <w:r w:rsidR="00186A82">
          <w:rPr>
            <w:noProof/>
            <w:lang w:val="sr-Latn-CS"/>
          </w:rPr>
          <w:t>2</w:t>
        </w:r>
        <w:r w:rsidRPr="00186A82">
          <w:rPr>
            <w:noProof/>
            <w:lang w:val="sr-Latn-CS"/>
          </w:rPr>
          <w:fldChar w:fldCharType="end"/>
        </w:r>
      </w:p>
    </w:sdtContent>
  </w:sdt>
  <w:p w:rsidR="00965099" w:rsidRPr="00186A82" w:rsidRDefault="00965099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99" w:rsidRDefault="00965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99" w:rsidRDefault="003B2899" w:rsidP="00965099">
      <w:pPr>
        <w:spacing w:after="0" w:line="240" w:lineRule="auto"/>
      </w:pPr>
      <w:r>
        <w:separator/>
      </w:r>
    </w:p>
  </w:footnote>
  <w:footnote w:type="continuationSeparator" w:id="0">
    <w:p w:rsidR="003B2899" w:rsidRDefault="003B2899" w:rsidP="0096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99" w:rsidRDefault="00965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99" w:rsidRDefault="00965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99" w:rsidRDefault="00965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6C9"/>
    <w:multiLevelType w:val="hybridMultilevel"/>
    <w:tmpl w:val="7E78437C"/>
    <w:lvl w:ilvl="0" w:tplc="5B4C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EE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0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4C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A1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0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0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E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28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07601C"/>
    <w:multiLevelType w:val="hybridMultilevel"/>
    <w:tmpl w:val="65AAB350"/>
    <w:lvl w:ilvl="0" w:tplc="96C8030C">
      <w:start w:val="3"/>
      <w:numFmt w:val="upperRoman"/>
      <w:lvlText w:val="%1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 w15:restartNumberingAfterBreak="0">
    <w:nsid w:val="79410395"/>
    <w:multiLevelType w:val="hybridMultilevel"/>
    <w:tmpl w:val="56600000"/>
    <w:lvl w:ilvl="0" w:tplc="64EC3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06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6D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68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4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2D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65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EA60BE"/>
    <w:multiLevelType w:val="hybridMultilevel"/>
    <w:tmpl w:val="5726B8DE"/>
    <w:lvl w:ilvl="0" w:tplc="5552A1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4E"/>
    <w:rsid w:val="00017B80"/>
    <w:rsid w:val="00022350"/>
    <w:rsid w:val="00023532"/>
    <w:rsid w:val="0005695B"/>
    <w:rsid w:val="00060EBA"/>
    <w:rsid w:val="00066057"/>
    <w:rsid w:val="000706CA"/>
    <w:rsid w:val="000A5D39"/>
    <w:rsid w:val="00173D52"/>
    <w:rsid w:val="00184155"/>
    <w:rsid w:val="00186A82"/>
    <w:rsid w:val="00190ACC"/>
    <w:rsid w:val="001D780C"/>
    <w:rsid w:val="0021622F"/>
    <w:rsid w:val="00236C5D"/>
    <w:rsid w:val="0024635E"/>
    <w:rsid w:val="002850EB"/>
    <w:rsid w:val="00292646"/>
    <w:rsid w:val="002A0797"/>
    <w:rsid w:val="002D5D56"/>
    <w:rsid w:val="002F48DE"/>
    <w:rsid w:val="002F48F9"/>
    <w:rsid w:val="00326DB1"/>
    <w:rsid w:val="003327B5"/>
    <w:rsid w:val="00352467"/>
    <w:rsid w:val="00355449"/>
    <w:rsid w:val="00392DAE"/>
    <w:rsid w:val="003B2899"/>
    <w:rsid w:val="003E69A5"/>
    <w:rsid w:val="00427D5B"/>
    <w:rsid w:val="00526A3C"/>
    <w:rsid w:val="0053294E"/>
    <w:rsid w:val="00532C82"/>
    <w:rsid w:val="00550A84"/>
    <w:rsid w:val="00552A14"/>
    <w:rsid w:val="005A5112"/>
    <w:rsid w:val="005B7A20"/>
    <w:rsid w:val="00604A90"/>
    <w:rsid w:val="00625786"/>
    <w:rsid w:val="00654129"/>
    <w:rsid w:val="006942AD"/>
    <w:rsid w:val="007036E2"/>
    <w:rsid w:val="00777900"/>
    <w:rsid w:val="007C24D1"/>
    <w:rsid w:val="008610BB"/>
    <w:rsid w:val="008E0A4E"/>
    <w:rsid w:val="008E0F01"/>
    <w:rsid w:val="009151C1"/>
    <w:rsid w:val="00945058"/>
    <w:rsid w:val="00962AD3"/>
    <w:rsid w:val="00965099"/>
    <w:rsid w:val="00986964"/>
    <w:rsid w:val="00A04CCF"/>
    <w:rsid w:val="00A85E47"/>
    <w:rsid w:val="00A9031C"/>
    <w:rsid w:val="00AC76F1"/>
    <w:rsid w:val="00B03778"/>
    <w:rsid w:val="00B2783A"/>
    <w:rsid w:val="00B816CE"/>
    <w:rsid w:val="00B92322"/>
    <w:rsid w:val="00BA0D61"/>
    <w:rsid w:val="00BA1BB0"/>
    <w:rsid w:val="00BE575C"/>
    <w:rsid w:val="00C10874"/>
    <w:rsid w:val="00C119B7"/>
    <w:rsid w:val="00C54699"/>
    <w:rsid w:val="00C66AF7"/>
    <w:rsid w:val="00C91693"/>
    <w:rsid w:val="00CA3FB1"/>
    <w:rsid w:val="00D11103"/>
    <w:rsid w:val="00D529A1"/>
    <w:rsid w:val="00DA23F4"/>
    <w:rsid w:val="00E46BE8"/>
    <w:rsid w:val="00E73D3B"/>
    <w:rsid w:val="00E91F5D"/>
    <w:rsid w:val="00EB3106"/>
    <w:rsid w:val="00EF4D78"/>
    <w:rsid w:val="00F02A48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BCC8C-3088-4C7D-892C-5EA54427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E575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BE575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76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6F1"/>
  </w:style>
  <w:style w:type="character" w:customStyle="1" w:styleId="apple-converted-space">
    <w:name w:val="apple-converted-space"/>
    <w:basedOn w:val="DefaultParagraphFont"/>
    <w:rsid w:val="00BA0D61"/>
  </w:style>
  <w:style w:type="paragraph" w:styleId="Header">
    <w:name w:val="header"/>
    <w:basedOn w:val="Normal"/>
    <w:link w:val="HeaderChar"/>
    <w:uiPriority w:val="99"/>
    <w:unhideWhenUsed/>
    <w:rsid w:val="00965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099"/>
  </w:style>
  <w:style w:type="paragraph" w:styleId="Footer">
    <w:name w:val="footer"/>
    <w:basedOn w:val="Normal"/>
    <w:link w:val="FooterChar"/>
    <w:uiPriority w:val="99"/>
    <w:unhideWhenUsed/>
    <w:rsid w:val="00965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37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2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 Zdravkovic</dc:creator>
  <cp:lastModifiedBy>Bojan Grgic</cp:lastModifiedBy>
  <cp:revision>2</cp:revision>
  <cp:lastPrinted>2018-03-06T10:47:00Z</cp:lastPrinted>
  <dcterms:created xsi:type="dcterms:W3CDTF">2018-03-27T09:36:00Z</dcterms:created>
  <dcterms:modified xsi:type="dcterms:W3CDTF">2018-03-27T09:36:00Z</dcterms:modified>
</cp:coreProperties>
</file>